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1A05" w14:textId="0D6F73EC" w:rsidR="00F56175" w:rsidRPr="007B4412" w:rsidRDefault="008A3470">
      <w:pPr>
        <w:pStyle w:val="Heading1"/>
        <w:spacing w:before="63"/>
        <w:rPr>
          <w:sz w:val="24"/>
          <w:szCs w:val="22"/>
        </w:rPr>
      </w:pPr>
      <w:r w:rsidRPr="007B4412">
        <w:rPr>
          <w:sz w:val="24"/>
          <w:szCs w:val="22"/>
        </w:rPr>
        <w:t xml:space="preserve">RESOLUTION NO. </w:t>
      </w:r>
      <w:r w:rsidR="00616383">
        <w:rPr>
          <w:sz w:val="24"/>
          <w:szCs w:val="22"/>
        </w:rPr>
        <w:t xml:space="preserve">15 </w:t>
      </w:r>
      <w:r w:rsidRPr="007B4412">
        <w:rPr>
          <w:sz w:val="24"/>
          <w:szCs w:val="22"/>
        </w:rPr>
        <w:t>OF 202</w:t>
      </w:r>
      <w:r w:rsidR="00FF2FDA">
        <w:rPr>
          <w:sz w:val="24"/>
          <w:szCs w:val="22"/>
        </w:rPr>
        <w:t>4</w:t>
      </w:r>
    </w:p>
    <w:p w14:paraId="2AD53B59" w14:textId="77777777" w:rsidR="00F56175" w:rsidRPr="007B4412" w:rsidRDefault="00F56175">
      <w:pPr>
        <w:pStyle w:val="BodyText"/>
        <w:spacing w:before="9"/>
        <w:rPr>
          <w:b/>
          <w:sz w:val="24"/>
          <w:szCs w:val="22"/>
        </w:rPr>
      </w:pPr>
    </w:p>
    <w:p w14:paraId="51529B6D" w14:textId="77777777" w:rsidR="00F56175" w:rsidRPr="00C75A2E" w:rsidRDefault="008A3470">
      <w:pPr>
        <w:pStyle w:val="BodyText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>BY THE CADDO PARISH COMMISSION:</w:t>
      </w:r>
    </w:p>
    <w:p w14:paraId="6921731F" w14:textId="77777777" w:rsidR="00F56175" w:rsidRPr="00C75A2E" w:rsidRDefault="00F56175">
      <w:pPr>
        <w:pStyle w:val="BodyText"/>
        <w:spacing w:before="8"/>
        <w:rPr>
          <w:sz w:val="22"/>
          <w:szCs w:val="22"/>
        </w:rPr>
      </w:pPr>
    </w:p>
    <w:p w14:paraId="15810D53" w14:textId="35678DF4" w:rsidR="00F56175" w:rsidRDefault="00616383" w:rsidP="00616383">
      <w:pPr>
        <w:pStyle w:val="BodyText"/>
        <w:ind w:left="720" w:right="720"/>
        <w:rPr>
          <w:color w:val="141827"/>
          <w:sz w:val="22"/>
          <w:szCs w:val="22"/>
          <w:shd w:val="clear" w:color="auto" w:fill="FFFFFF"/>
        </w:rPr>
      </w:pPr>
      <w:r w:rsidRPr="00616383">
        <w:rPr>
          <w:color w:val="141827"/>
          <w:sz w:val="22"/>
          <w:szCs w:val="22"/>
          <w:shd w:val="clear" w:color="auto" w:fill="FFFFFF"/>
        </w:rPr>
        <w:t xml:space="preserve">A RESOLUTION RECOGNIZING THE DETRIMENT OF GUN VIOLENCE IN CADDO PARISH, REQUESTING PARISH STAKEHOLDERS TO GATHER AND PROMULGATE A PLAN TO COMBAT GUN VIOLENCE WITHIN CADDO PARISH, </w:t>
      </w:r>
      <w:r w:rsidR="00220AB3" w:rsidRPr="00220AB3">
        <w:rPr>
          <w:color w:val="141827"/>
          <w:sz w:val="22"/>
          <w:szCs w:val="22"/>
          <w:shd w:val="clear" w:color="auto" w:fill="FFFFFF"/>
        </w:rPr>
        <w:t xml:space="preserve">AND RECOGNIZING THE GUN VIOLENCE CRISIS </w:t>
      </w:r>
      <w:r w:rsidRPr="00220AB3">
        <w:rPr>
          <w:color w:val="141827"/>
          <w:sz w:val="22"/>
          <w:szCs w:val="22"/>
          <w:shd w:val="clear" w:color="auto" w:fill="FFFFFF"/>
        </w:rPr>
        <w:t>WITHIN CADDO PARISH,</w:t>
      </w:r>
      <w:r w:rsidRPr="00616383">
        <w:rPr>
          <w:color w:val="141827"/>
          <w:sz w:val="22"/>
          <w:szCs w:val="22"/>
          <w:shd w:val="clear" w:color="auto" w:fill="FFFFFF"/>
        </w:rPr>
        <w:t xml:space="preserve"> AND OTHERWISE PROVIDING WITH RESPECT THERETO.</w:t>
      </w:r>
    </w:p>
    <w:p w14:paraId="508A9F36" w14:textId="710AB8E0" w:rsidR="00616383" w:rsidRDefault="00616383">
      <w:pPr>
        <w:pStyle w:val="BodyText"/>
        <w:spacing w:before="2"/>
        <w:rPr>
          <w:sz w:val="22"/>
          <w:szCs w:val="22"/>
        </w:rPr>
      </w:pPr>
    </w:p>
    <w:p w14:paraId="4363568C" w14:textId="77777777" w:rsidR="00616383" w:rsidRPr="00616383" w:rsidRDefault="00616383">
      <w:pPr>
        <w:pStyle w:val="BodyText"/>
        <w:spacing w:before="2"/>
        <w:rPr>
          <w:sz w:val="22"/>
          <w:szCs w:val="22"/>
        </w:rPr>
      </w:pPr>
    </w:p>
    <w:p w14:paraId="2D3C8B73" w14:textId="581199C8" w:rsidR="00616383" w:rsidRDefault="002327C3" w:rsidP="00616383">
      <w:pPr>
        <w:ind w:firstLine="720"/>
      </w:pPr>
      <w:r w:rsidRPr="00C75A2E">
        <w:t xml:space="preserve">WHEREAS, </w:t>
      </w:r>
      <w:r w:rsidR="00616383">
        <w:rPr>
          <w:rFonts w:eastAsiaTheme="minorHAnsi"/>
        </w:rPr>
        <w:t xml:space="preserve">in 2023 in Caddo Parish, </w:t>
      </w:r>
      <w:r w:rsidR="00616383">
        <w:t>a total of 107 of 499 admissions to the Caddo Juvenile Detention Center were due to gun charges; and</w:t>
      </w:r>
    </w:p>
    <w:p w14:paraId="6CF6D0FA" w14:textId="53BC048D" w:rsidR="00616383" w:rsidRDefault="00616383" w:rsidP="00616383">
      <w:pPr>
        <w:ind w:firstLine="720"/>
      </w:pPr>
    </w:p>
    <w:p w14:paraId="50A7864C" w14:textId="3785BB85" w:rsidR="002327C3" w:rsidRPr="00616383" w:rsidRDefault="00616383" w:rsidP="00616383">
      <w:pPr>
        <w:ind w:firstLine="720"/>
      </w:pPr>
      <w:r>
        <w:t xml:space="preserve">WHEREAS, there have </w:t>
      </w:r>
      <w:r w:rsidR="00AC513A">
        <w:t>2</w:t>
      </w:r>
      <w:r w:rsidR="00D12487" w:rsidRPr="00D12487">
        <w:t>5</w:t>
      </w:r>
      <w:r>
        <w:t xml:space="preserve"> admissions </w:t>
      </w:r>
      <w:r w:rsidR="002B26D0">
        <w:t>to the Caddo Juvenile Detention Center d</w:t>
      </w:r>
      <w:r>
        <w:t>ue to gun charges in 2024</w:t>
      </w:r>
      <w:r w:rsidR="00C75A2E">
        <w:rPr>
          <w:color w:val="212529"/>
        </w:rPr>
        <w:t>;</w:t>
      </w:r>
      <w:r w:rsidR="00311800" w:rsidRPr="00C75A2E">
        <w:rPr>
          <w:color w:val="212529"/>
        </w:rPr>
        <w:t xml:space="preserve"> </w:t>
      </w:r>
      <w:r w:rsidR="002327C3" w:rsidRPr="00C75A2E">
        <w:t>and</w:t>
      </w:r>
    </w:p>
    <w:p w14:paraId="45D7F93C" w14:textId="77777777" w:rsidR="002327C3" w:rsidRPr="00C75A2E" w:rsidRDefault="002327C3" w:rsidP="002327C3">
      <w:pPr>
        <w:tabs>
          <w:tab w:val="left" w:pos="720"/>
          <w:tab w:val="left" w:pos="9000"/>
        </w:tabs>
        <w:jc w:val="both"/>
      </w:pPr>
    </w:p>
    <w:p w14:paraId="461E73DF" w14:textId="1648E3A0" w:rsidR="00616383" w:rsidRDefault="002327C3" w:rsidP="00616383">
      <w:r w:rsidRPr="00C75A2E">
        <w:tab/>
        <w:t>WHEREAS,</w:t>
      </w:r>
      <w:r w:rsidR="00421ECF" w:rsidRPr="00C75A2E">
        <w:t xml:space="preserve"> </w:t>
      </w:r>
      <w:r w:rsidR="00616383">
        <w:t xml:space="preserve">in cooperation with law enforcement, Caddo Juvenile Probation Officers have been responsible for the confiscation of 54 guns in 2023 and </w:t>
      </w:r>
      <w:r w:rsidR="00D12487">
        <w:t xml:space="preserve">more than </w:t>
      </w:r>
      <w:r w:rsidR="00AC513A">
        <w:t>20</w:t>
      </w:r>
      <w:bookmarkStart w:id="0" w:name="_GoBack"/>
      <w:bookmarkEnd w:id="0"/>
      <w:r w:rsidR="00616383">
        <w:t xml:space="preserve"> guns in 2024; and </w:t>
      </w:r>
    </w:p>
    <w:p w14:paraId="314AA031" w14:textId="77777777" w:rsidR="00616383" w:rsidRDefault="00616383" w:rsidP="00616383"/>
    <w:p w14:paraId="098154A8" w14:textId="71E2F22A" w:rsidR="002327C3" w:rsidRPr="00616383" w:rsidRDefault="00616383" w:rsidP="00616383">
      <w:pPr>
        <w:ind w:firstLine="720"/>
        <w:rPr>
          <w:rFonts w:ascii="Calibri" w:eastAsiaTheme="minorHAnsi" w:hAnsi="Calibri" w:cs="Calibri"/>
        </w:rPr>
      </w:pPr>
      <w:r>
        <w:t>WHEREAS, overall, Juvenile Services is responsible for 28% of the guns retrieved or confiscated by the Violent Crimes Abatement Task Force</w:t>
      </w:r>
      <w:r w:rsidR="00421ECF" w:rsidRPr="00C75A2E">
        <w:t xml:space="preserve">; and </w:t>
      </w:r>
    </w:p>
    <w:p w14:paraId="518020BE" w14:textId="3B74EA06" w:rsidR="00421ECF" w:rsidRPr="00C75A2E" w:rsidRDefault="00421ECF" w:rsidP="007B4412">
      <w:pPr>
        <w:widowControl/>
        <w:adjustRightInd w:val="0"/>
        <w:rPr>
          <w:rFonts w:eastAsiaTheme="minorHAnsi"/>
        </w:rPr>
      </w:pPr>
    </w:p>
    <w:p w14:paraId="0F42A939" w14:textId="0EAC1B56" w:rsidR="00421ECF" w:rsidRPr="00C75A2E" w:rsidRDefault="00421ECF" w:rsidP="007B4412">
      <w:pPr>
        <w:widowControl/>
        <w:adjustRightInd w:val="0"/>
        <w:rPr>
          <w:rFonts w:eastAsiaTheme="minorHAnsi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Louisiana has the second highest rate of gun deaths in the United States</w:t>
      </w:r>
      <w:r w:rsidR="00616383">
        <w:rPr>
          <w:rStyle w:val="EndnoteReference"/>
          <w:rFonts w:eastAsiaTheme="minorHAnsi"/>
        </w:rPr>
        <w:endnoteReference w:id="1"/>
      </w:r>
      <w:r w:rsidRPr="00C75A2E">
        <w:rPr>
          <w:rFonts w:eastAsiaTheme="minorHAnsi"/>
        </w:rPr>
        <w:t>; and</w:t>
      </w:r>
    </w:p>
    <w:p w14:paraId="3A0D0452" w14:textId="206B97AB" w:rsidR="00421ECF" w:rsidRPr="00C75A2E" w:rsidRDefault="00421ECF" w:rsidP="007B4412">
      <w:pPr>
        <w:widowControl/>
        <w:adjustRightInd w:val="0"/>
        <w:rPr>
          <w:rFonts w:eastAsiaTheme="minorHAnsi"/>
        </w:rPr>
      </w:pPr>
    </w:p>
    <w:p w14:paraId="35F95228" w14:textId="7BDFFB58" w:rsidR="002327C3" w:rsidRPr="00C75A2E" w:rsidRDefault="00421ECF" w:rsidP="00421ECF">
      <w:pPr>
        <w:widowControl/>
        <w:adjustRightInd w:val="0"/>
        <w:rPr>
          <w:color w:val="212529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Louisiana has the worst gun death rate for children</w:t>
      </w:r>
      <w:r w:rsidR="00616383">
        <w:rPr>
          <w:rStyle w:val="EndnoteReference"/>
          <w:rFonts w:eastAsiaTheme="minorHAnsi"/>
        </w:rPr>
        <w:endnoteReference w:id="2"/>
      </w:r>
      <w:r w:rsidR="00DD256E">
        <w:rPr>
          <w:color w:val="212529"/>
        </w:rPr>
        <w:t>; and</w:t>
      </w:r>
    </w:p>
    <w:p w14:paraId="5078D348" w14:textId="464E5EDA" w:rsidR="00C75A2E" w:rsidRPr="00C75A2E" w:rsidRDefault="00C75A2E" w:rsidP="00421ECF">
      <w:pPr>
        <w:widowControl/>
        <w:adjustRightInd w:val="0"/>
        <w:rPr>
          <w:rFonts w:eastAsiaTheme="minorHAnsi"/>
        </w:rPr>
      </w:pPr>
    </w:p>
    <w:p w14:paraId="4799A809" w14:textId="4C72B725" w:rsidR="00C75A2E" w:rsidRPr="00C75A2E" w:rsidRDefault="00C75A2E" w:rsidP="00421ECF">
      <w:pPr>
        <w:widowControl/>
        <w:adjustRightInd w:val="0"/>
        <w:rPr>
          <w:rFonts w:eastAsiaTheme="minorHAnsi"/>
        </w:rPr>
      </w:pPr>
      <w:r w:rsidRPr="00C75A2E">
        <w:rPr>
          <w:rFonts w:eastAsiaTheme="minorHAnsi"/>
        </w:rPr>
        <w:tab/>
        <w:t xml:space="preserve">WHEREAS, </w:t>
      </w:r>
      <w:r w:rsidR="00616383">
        <w:rPr>
          <w:rFonts w:eastAsiaTheme="minorHAnsi"/>
        </w:rPr>
        <w:t>in Louisiana, more than 1 in 5 adults report having directly experienced gun violence.</w:t>
      </w:r>
      <w:r w:rsidR="00616383">
        <w:rPr>
          <w:rStyle w:val="EndnoteReference"/>
          <w:rFonts w:eastAsiaTheme="minorHAnsi"/>
        </w:rPr>
        <w:endnoteReference w:id="3"/>
      </w:r>
    </w:p>
    <w:p w14:paraId="38D1987B" w14:textId="77777777" w:rsidR="002327C3" w:rsidRPr="00C75A2E" w:rsidRDefault="002327C3" w:rsidP="002327C3">
      <w:pPr>
        <w:tabs>
          <w:tab w:val="left" w:pos="720"/>
          <w:tab w:val="left" w:pos="9000"/>
        </w:tabs>
        <w:jc w:val="both"/>
      </w:pPr>
    </w:p>
    <w:p w14:paraId="1678CE15" w14:textId="075152D0" w:rsidR="00F56175" w:rsidRPr="00C75A2E" w:rsidRDefault="002327C3" w:rsidP="002327C3">
      <w:pPr>
        <w:tabs>
          <w:tab w:val="left" w:pos="720"/>
          <w:tab w:val="left" w:pos="9000"/>
        </w:tabs>
        <w:jc w:val="both"/>
      </w:pPr>
      <w:r w:rsidRPr="00C75A2E">
        <w:tab/>
        <w:t xml:space="preserve"> NOW, THEREFORE, BE IT ORDAINED, by the Caddo Parish Commission in due, legal and regular session c</w:t>
      </w:r>
      <w:r w:rsidR="00094A6C" w:rsidRPr="00C75A2E">
        <w:t xml:space="preserve">onvened that the Caddo Parish Commission hereby </w:t>
      </w:r>
      <w:r w:rsidR="002B26D0">
        <w:t>recognizes the detriment of gun violence in Caddo Parish and within Louisiana, and is requesting all Caddo Parish Stakeholders to come together and promulgate a plan to combat gun violence within the Parish</w:t>
      </w:r>
      <w:r w:rsidR="00421ECF" w:rsidRPr="00C75A2E">
        <w:t>.</w:t>
      </w:r>
    </w:p>
    <w:p w14:paraId="3386C9C8" w14:textId="77777777" w:rsidR="00F56175" w:rsidRPr="00C75A2E" w:rsidRDefault="00F56175">
      <w:pPr>
        <w:pStyle w:val="BodyText"/>
        <w:rPr>
          <w:sz w:val="22"/>
          <w:szCs w:val="22"/>
        </w:rPr>
      </w:pPr>
    </w:p>
    <w:p w14:paraId="54F7C271" w14:textId="04DAD672" w:rsidR="00F56175" w:rsidRPr="00C75A2E" w:rsidRDefault="008A3470" w:rsidP="00E11230">
      <w:pPr>
        <w:pStyle w:val="BodyText"/>
        <w:spacing w:before="94"/>
        <w:ind w:firstLine="720"/>
        <w:rPr>
          <w:sz w:val="22"/>
          <w:szCs w:val="22"/>
        </w:rPr>
      </w:pPr>
      <w:r w:rsidRPr="00C75A2E">
        <w:rPr>
          <w:sz w:val="22"/>
          <w:szCs w:val="22"/>
        </w:rPr>
        <w:t>BE IT FURTHER RESOLVED, that this resolution is effective immediately upon its</w:t>
      </w:r>
    </w:p>
    <w:p w14:paraId="3FEB3926" w14:textId="7E19C9CC" w:rsidR="00F56175" w:rsidRPr="00C75A2E" w:rsidRDefault="008A3470">
      <w:pPr>
        <w:pStyle w:val="BodyText"/>
        <w:spacing w:before="10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>passage.</w:t>
      </w:r>
    </w:p>
    <w:p w14:paraId="3E5F9E6E" w14:textId="754DBD98" w:rsidR="00E11230" w:rsidRPr="00C75A2E" w:rsidRDefault="00E11230">
      <w:pPr>
        <w:pStyle w:val="BodyText"/>
        <w:spacing w:before="10"/>
        <w:ind w:left="119"/>
        <w:rPr>
          <w:sz w:val="22"/>
          <w:szCs w:val="22"/>
        </w:rPr>
      </w:pPr>
    </w:p>
    <w:p w14:paraId="426F760A" w14:textId="09287C98" w:rsidR="00E11230" w:rsidRPr="00C75A2E" w:rsidRDefault="00E11230">
      <w:pPr>
        <w:pStyle w:val="BodyText"/>
        <w:spacing w:before="10"/>
        <w:ind w:left="119"/>
        <w:rPr>
          <w:sz w:val="22"/>
          <w:szCs w:val="22"/>
        </w:rPr>
      </w:pPr>
      <w:r w:rsidRPr="00C75A2E">
        <w:rPr>
          <w:sz w:val="22"/>
          <w:szCs w:val="22"/>
        </w:rPr>
        <w:tab/>
        <w:t>BE IT FURTHER RESOLVED, that</w:t>
      </w:r>
      <w:r w:rsidR="00921AC3" w:rsidRPr="00C75A2E">
        <w:rPr>
          <w:sz w:val="22"/>
          <w:szCs w:val="22"/>
        </w:rPr>
        <w:t xml:space="preserve"> this resolution will be forwarded to </w:t>
      </w:r>
      <w:r w:rsidR="002B26D0">
        <w:rPr>
          <w:sz w:val="22"/>
          <w:szCs w:val="22"/>
        </w:rPr>
        <w:t xml:space="preserve">all Caddo Parish stakeholders, including the Caddo Parish District Attorney, the Caddo Parish Sheriff, </w:t>
      </w:r>
      <w:r w:rsidR="00921AC3" w:rsidRPr="00C75A2E">
        <w:rPr>
          <w:sz w:val="22"/>
          <w:szCs w:val="22"/>
        </w:rPr>
        <w:t xml:space="preserve">the </w:t>
      </w:r>
      <w:r w:rsidR="002B26D0">
        <w:rPr>
          <w:sz w:val="22"/>
          <w:szCs w:val="22"/>
        </w:rPr>
        <w:t xml:space="preserve">police chiefs of all Caddo Parish municipalities, the Caddo Parish School Board, Louisiana Governor Jeff Landry and Louisiana DHH Secretary Dr. Ralph Abraham. </w:t>
      </w:r>
    </w:p>
    <w:p w14:paraId="3DFC4750" w14:textId="77777777" w:rsidR="00F56175" w:rsidRPr="00C75A2E" w:rsidRDefault="00F56175">
      <w:pPr>
        <w:pStyle w:val="BodyText"/>
        <w:spacing w:before="7"/>
        <w:rPr>
          <w:sz w:val="22"/>
          <w:szCs w:val="22"/>
        </w:rPr>
      </w:pPr>
    </w:p>
    <w:p w14:paraId="1248A01B" w14:textId="77777777" w:rsidR="00F56175" w:rsidRPr="00C75A2E" w:rsidRDefault="008A3470" w:rsidP="0084615A">
      <w:pPr>
        <w:pStyle w:val="BodyText"/>
        <w:spacing w:before="94" w:line="249" w:lineRule="auto"/>
        <w:ind w:left="119" w:firstLine="601"/>
        <w:rPr>
          <w:sz w:val="22"/>
          <w:szCs w:val="22"/>
        </w:rPr>
      </w:pPr>
      <w:r w:rsidRPr="00C75A2E">
        <w:rPr>
          <w:sz w:val="22"/>
          <w:szCs w:val="22"/>
        </w:rPr>
        <w:t>BE IT FURTHER RESOLVED, that all resolutions or parts thereof in conflict herewith are hereby repealed.</w:t>
      </w:r>
    </w:p>
    <w:p w14:paraId="0732EFB3" w14:textId="77777777" w:rsidR="00F56175" w:rsidRPr="00C75A2E" w:rsidRDefault="00F56175">
      <w:pPr>
        <w:pStyle w:val="BodyText"/>
        <w:rPr>
          <w:sz w:val="22"/>
          <w:szCs w:val="22"/>
        </w:rPr>
      </w:pPr>
    </w:p>
    <w:p w14:paraId="482248DE" w14:textId="77777777" w:rsidR="00F56175" w:rsidRPr="00C75A2E" w:rsidRDefault="00F56175">
      <w:pPr>
        <w:pStyle w:val="BodyText"/>
        <w:spacing w:before="10"/>
        <w:rPr>
          <w:sz w:val="22"/>
          <w:szCs w:val="22"/>
        </w:rPr>
      </w:pPr>
    </w:p>
    <w:p w14:paraId="6652583E" w14:textId="77777777" w:rsidR="00F56175" w:rsidRPr="00C75A2E" w:rsidRDefault="008A3470">
      <w:pPr>
        <w:pStyle w:val="Heading1"/>
        <w:rPr>
          <w:sz w:val="22"/>
          <w:szCs w:val="22"/>
        </w:rPr>
      </w:pPr>
      <w:r w:rsidRPr="00C75A2E">
        <w:rPr>
          <w:sz w:val="22"/>
          <w:szCs w:val="22"/>
        </w:rPr>
        <w:t>Approved as to legal form:</w:t>
      </w:r>
    </w:p>
    <w:p w14:paraId="00103C70" w14:textId="77777777" w:rsidR="00F56175" w:rsidRPr="00C75A2E" w:rsidRDefault="00F56175">
      <w:pPr>
        <w:pStyle w:val="BodyText"/>
        <w:rPr>
          <w:b/>
          <w:sz w:val="22"/>
          <w:szCs w:val="22"/>
        </w:rPr>
      </w:pPr>
    </w:p>
    <w:p w14:paraId="09EB361C" w14:textId="77777777" w:rsidR="00F56175" w:rsidRPr="00C75A2E" w:rsidRDefault="008A3470">
      <w:pPr>
        <w:pStyle w:val="BodyText"/>
        <w:spacing w:before="6"/>
        <w:rPr>
          <w:b/>
          <w:sz w:val="22"/>
          <w:szCs w:val="22"/>
        </w:rPr>
      </w:pPr>
      <w:r w:rsidRPr="00C75A2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61DEB" wp14:editId="3CE68E12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2330450" cy="1270"/>
                <wp:effectExtent l="0" t="0" r="635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70"/>
                            <a:gd name="T2" fmla="+- 0 5110 1440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147E" id="Freeform 3" o:spid="_x0000_s1026" style="position:absolute;margin-left:1in;margin-top:11.9pt;width:183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" path="m,l3670,e" filled="f" strokeweight=".89pt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</w:p>
    <w:p w14:paraId="1F87841A" w14:textId="77777777" w:rsidR="00F56175" w:rsidRPr="00C75A2E" w:rsidRDefault="008A3470">
      <w:pPr>
        <w:spacing w:line="214" w:lineRule="exact"/>
        <w:ind w:left="119"/>
        <w:rPr>
          <w:b/>
        </w:rPr>
      </w:pPr>
      <w:r w:rsidRPr="00C75A2E">
        <w:rPr>
          <w:b/>
        </w:rPr>
        <w:t>Parish Attorney</w:t>
      </w:r>
    </w:p>
    <w:p w14:paraId="2CE395DC" w14:textId="77777777" w:rsidR="00F56175" w:rsidRPr="0084615A" w:rsidRDefault="00F56175">
      <w:pPr>
        <w:pStyle w:val="BodyText"/>
        <w:rPr>
          <w:b/>
          <w:sz w:val="24"/>
          <w:szCs w:val="24"/>
        </w:rPr>
      </w:pPr>
    </w:p>
    <w:p w14:paraId="31F8D3F7" w14:textId="7140862B" w:rsidR="00F56175" w:rsidRPr="0084615A" w:rsidRDefault="008A3470">
      <w:pPr>
        <w:pStyle w:val="BodyText"/>
        <w:spacing w:before="6"/>
        <w:rPr>
          <w:b/>
          <w:sz w:val="24"/>
          <w:szCs w:val="24"/>
        </w:rPr>
      </w:pPr>
      <w:r w:rsidRPr="008461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E5303D" wp14:editId="3A787CFC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2330450" cy="1270"/>
                <wp:effectExtent l="0" t="0" r="635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70"/>
                            <a:gd name="T2" fmla="+- 0 5110 1440"/>
                            <a:gd name="T3" fmla="*/ T2 w 3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0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3D4C" id="Freeform 2" o:spid="_x0000_s1026" style="position:absolute;margin-left:1in;margin-top:11.9pt;width:18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" path="m,l3670,e" filled="f" strokeweight=".89pt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</w:p>
    <w:p w14:paraId="31E889AA" w14:textId="59D0D378" w:rsidR="00F56175" w:rsidRDefault="008A3470">
      <w:pPr>
        <w:spacing w:line="214" w:lineRule="exact"/>
        <w:ind w:left="119"/>
        <w:rPr>
          <w:b/>
          <w:sz w:val="24"/>
          <w:szCs w:val="24"/>
        </w:rPr>
      </w:pPr>
      <w:r w:rsidRPr="0084615A">
        <w:rPr>
          <w:b/>
          <w:sz w:val="24"/>
          <w:szCs w:val="24"/>
        </w:rPr>
        <w:t>Date</w:t>
      </w:r>
    </w:p>
    <w:p w14:paraId="3B4D9B87" w14:textId="2B546A54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607FDBA6" w14:textId="241A65EB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23C4B074" w14:textId="4BB221F0" w:rsidR="002B26D0" w:rsidRDefault="002B26D0">
      <w:pPr>
        <w:spacing w:line="214" w:lineRule="exact"/>
        <w:ind w:left="119"/>
        <w:rPr>
          <w:b/>
          <w:sz w:val="24"/>
          <w:szCs w:val="24"/>
        </w:rPr>
      </w:pPr>
    </w:p>
    <w:p w14:paraId="0BCCDF30" w14:textId="77777777" w:rsidR="002B26D0" w:rsidRPr="0084615A" w:rsidRDefault="002B26D0">
      <w:pPr>
        <w:spacing w:line="214" w:lineRule="exact"/>
        <w:ind w:left="119"/>
        <w:rPr>
          <w:b/>
          <w:sz w:val="24"/>
          <w:szCs w:val="24"/>
        </w:rPr>
      </w:pPr>
    </w:p>
    <w:sectPr w:rsidR="002B26D0" w:rsidRPr="0084615A">
      <w:type w:val="continuous"/>
      <w:pgSz w:w="12240" w:h="20160"/>
      <w:pgMar w:top="13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44D6" w14:textId="77777777" w:rsidR="00616383" w:rsidRDefault="00616383" w:rsidP="00616383">
      <w:r>
        <w:separator/>
      </w:r>
    </w:p>
  </w:endnote>
  <w:endnote w:type="continuationSeparator" w:id="0">
    <w:p w14:paraId="3D50FB01" w14:textId="77777777" w:rsidR="00616383" w:rsidRDefault="00616383" w:rsidP="00616383">
      <w:r>
        <w:continuationSeparator/>
      </w:r>
    </w:p>
  </w:endnote>
  <w:endnote w:id="1">
    <w:p w14:paraId="7BA15CA6" w14:textId="43661716" w:rsidR="00616383" w:rsidRPr="004C3DF8" w:rsidRDefault="00616383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 w:rsidR="004C3DF8" w:rsidRPr="004C3DF8">
        <w:rPr>
          <w:sz w:val="16"/>
          <w:szCs w:val="16"/>
        </w:rPr>
        <w:t xml:space="preserve">Allison </w:t>
      </w:r>
      <w:proofErr w:type="spellStart"/>
      <w:r w:rsidR="004C3DF8" w:rsidRPr="004C3DF8">
        <w:rPr>
          <w:sz w:val="16"/>
          <w:szCs w:val="16"/>
        </w:rPr>
        <w:t>Bruhl</w:t>
      </w:r>
      <w:proofErr w:type="spellEnd"/>
      <w:r w:rsidR="004C3DF8" w:rsidRPr="004C3DF8">
        <w:rPr>
          <w:sz w:val="16"/>
          <w:szCs w:val="16"/>
        </w:rPr>
        <w:t xml:space="preserve">, Louisiana’s Homicide Rate Second Highest in US, Report Shows, </w:t>
      </w:r>
      <w:proofErr w:type="spellStart"/>
      <w:r w:rsidR="004C3DF8" w:rsidRPr="004C3DF8">
        <w:rPr>
          <w:sz w:val="16"/>
          <w:szCs w:val="16"/>
        </w:rPr>
        <w:t>BRProud</w:t>
      </w:r>
      <w:proofErr w:type="spellEnd"/>
      <w:r w:rsidR="004C3DF8" w:rsidRPr="004C3DF8">
        <w:rPr>
          <w:sz w:val="16"/>
          <w:szCs w:val="16"/>
        </w:rPr>
        <w:t xml:space="preserve">, 1/11/23, retrieved 3/1/24 from </w:t>
      </w:r>
      <w:hyperlink r:id="rId1" w:history="1">
        <w:r w:rsidR="004C3DF8" w:rsidRPr="004C3DF8">
          <w:rPr>
            <w:rStyle w:val="Hyperlink"/>
            <w:sz w:val="16"/>
            <w:szCs w:val="16"/>
          </w:rPr>
          <w:t>Louisiana's homicide rate second-highest in US, report shows (brproud.com)</w:t>
        </w:r>
      </w:hyperlink>
    </w:p>
  </w:endnote>
  <w:endnote w:id="2">
    <w:p w14:paraId="5ABA5E7F" w14:textId="7A013DB6" w:rsidR="00616383" w:rsidRDefault="0061638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C3DF8" w:rsidRPr="004C3DF8">
        <w:rPr>
          <w:sz w:val="16"/>
          <w:szCs w:val="16"/>
        </w:rPr>
        <w:t xml:space="preserve">Bailey K. Roberts, MD; Colleen P. </w:t>
      </w:r>
      <w:proofErr w:type="spellStart"/>
      <w:r w:rsidR="004C3DF8" w:rsidRPr="004C3DF8">
        <w:rPr>
          <w:sz w:val="16"/>
          <w:szCs w:val="16"/>
        </w:rPr>
        <w:t>Nofi</w:t>
      </w:r>
      <w:proofErr w:type="spellEnd"/>
      <w:r w:rsidR="004C3DF8" w:rsidRPr="004C3DF8">
        <w:rPr>
          <w:sz w:val="16"/>
          <w:szCs w:val="16"/>
        </w:rPr>
        <w:t xml:space="preserve">, DO; Emma Cornell, MPH; Sandeep Kapoor, MD, MS-HPPL; Laura Harrison, MPH; </w:t>
      </w:r>
      <w:proofErr w:type="spellStart"/>
      <w:r w:rsidR="004C3DF8" w:rsidRPr="004C3DF8">
        <w:rPr>
          <w:sz w:val="16"/>
          <w:szCs w:val="16"/>
        </w:rPr>
        <w:t>Chethan</w:t>
      </w:r>
      <w:proofErr w:type="spellEnd"/>
      <w:r w:rsidR="004C3DF8" w:rsidRPr="004C3DF8">
        <w:rPr>
          <w:sz w:val="16"/>
          <w:szCs w:val="16"/>
        </w:rPr>
        <w:t xml:space="preserve"> Sathya, MD, MSc</w:t>
      </w:r>
      <w:r w:rsidR="004C3DF8">
        <w:rPr>
          <w:sz w:val="16"/>
          <w:szCs w:val="16"/>
        </w:rPr>
        <w:t xml:space="preserve">, </w:t>
      </w:r>
      <w:r w:rsidR="004C3DF8" w:rsidRPr="004C3DF8">
        <w:rPr>
          <w:sz w:val="16"/>
          <w:szCs w:val="16"/>
        </w:rPr>
        <w:t>Trends and Disparities in Firearm Deaths Among Children</w:t>
      </w:r>
      <w:r w:rsidR="004C3DF8">
        <w:rPr>
          <w:sz w:val="16"/>
          <w:szCs w:val="16"/>
        </w:rPr>
        <w:t xml:space="preserve">, Pediatrics- Volume 152, Issue 3, September 2023, retrieved 3/1/2024 from </w:t>
      </w:r>
      <w:hyperlink r:id="rId2" w:history="1">
        <w:r w:rsidR="004C3DF8" w:rsidRPr="004C3DF8">
          <w:rPr>
            <w:rStyle w:val="Hyperlink"/>
            <w:sz w:val="16"/>
            <w:szCs w:val="16"/>
          </w:rPr>
          <w:t>Trends and Disparities in Firearm Deaths Among Children | Pediatrics | American Academy of Pediatrics (aap.org)</w:t>
        </w:r>
      </w:hyperlink>
    </w:p>
  </w:endnote>
  <w:endnote w:id="3">
    <w:p w14:paraId="67E8E500" w14:textId="23871289" w:rsidR="00616383" w:rsidRDefault="0061638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26D0" w:rsidRPr="002B26D0">
        <w:rPr>
          <w:sz w:val="16"/>
          <w:szCs w:val="16"/>
        </w:rPr>
        <w:t xml:space="preserve">Raj A, Johns NE, </w:t>
      </w:r>
      <w:proofErr w:type="spellStart"/>
      <w:r w:rsidR="002B26D0" w:rsidRPr="002B26D0">
        <w:rPr>
          <w:sz w:val="16"/>
          <w:szCs w:val="16"/>
        </w:rPr>
        <w:t>Closson</w:t>
      </w:r>
      <w:proofErr w:type="spellEnd"/>
      <w:r w:rsidR="002B26D0" w:rsidRPr="002B26D0">
        <w:rPr>
          <w:sz w:val="16"/>
          <w:szCs w:val="16"/>
        </w:rPr>
        <w:t xml:space="preserve"> K, Mahoney A, Yore J, </w:t>
      </w:r>
      <w:proofErr w:type="spellStart"/>
      <w:r w:rsidR="002B26D0" w:rsidRPr="002B26D0">
        <w:rPr>
          <w:sz w:val="16"/>
          <w:szCs w:val="16"/>
        </w:rPr>
        <w:t>Kully</w:t>
      </w:r>
      <w:proofErr w:type="spellEnd"/>
      <w:r w:rsidR="002B26D0" w:rsidRPr="002B26D0">
        <w:rPr>
          <w:sz w:val="16"/>
          <w:szCs w:val="16"/>
        </w:rPr>
        <w:t xml:space="preserve"> G, LaVeist T, </w:t>
      </w:r>
      <w:proofErr w:type="spellStart"/>
      <w:r w:rsidR="002B26D0" w:rsidRPr="002B26D0">
        <w:rPr>
          <w:sz w:val="16"/>
          <w:szCs w:val="16"/>
        </w:rPr>
        <w:t>Theall</w:t>
      </w:r>
      <w:proofErr w:type="spellEnd"/>
      <w:r w:rsidR="002B26D0" w:rsidRPr="002B26D0">
        <w:rPr>
          <w:sz w:val="16"/>
          <w:szCs w:val="16"/>
        </w:rPr>
        <w:t xml:space="preserve"> K. Louisiana Violence Experiences Survey (</w:t>
      </w:r>
      <w:proofErr w:type="spellStart"/>
      <w:r w:rsidR="002B26D0" w:rsidRPr="002B26D0">
        <w:rPr>
          <w:sz w:val="16"/>
          <w:szCs w:val="16"/>
        </w:rPr>
        <w:t>LaVEX</w:t>
      </w:r>
      <w:proofErr w:type="spellEnd"/>
      <w:r w:rsidR="002B26D0" w:rsidRPr="002B26D0">
        <w:rPr>
          <w:sz w:val="16"/>
          <w:szCs w:val="16"/>
        </w:rPr>
        <w:t>) 2023. August 2023. Newcomb Institute, Tulane University and Center on Gender Equity and Health, University of California San Diego</w:t>
      </w:r>
      <w:r w:rsidR="002B26D0">
        <w:rPr>
          <w:sz w:val="16"/>
          <w:szCs w:val="16"/>
        </w:rPr>
        <w:t>, retrieved 3/1/2024 from</w:t>
      </w:r>
      <w:r w:rsidR="002B26D0" w:rsidRPr="002B26D0">
        <w:rPr>
          <w:sz w:val="16"/>
          <w:szCs w:val="16"/>
        </w:rPr>
        <w:t xml:space="preserve"> </w:t>
      </w:r>
      <w:hyperlink r:id="rId3" w:history="1">
        <w:r w:rsidR="002B26D0" w:rsidRPr="002B26D0">
          <w:rPr>
            <w:rStyle w:val="Hyperlink"/>
            <w:sz w:val="16"/>
            <w:szCs w:val="16"/>
          </w:rPr>
          <w:t>Louisiana Violence Experiences Survey (</w:t>
        </w:r>
        <w:proofErr w:type="spellStart"/>
        <w:r w:rsidR="002B26D0" w:rsidRPr="002B26D0">
          <w:rPr>
            <w:rStyle w:val="Hyperlink"/>
            <w:sz w:val="16"/>
            <w:szCs w:val="16"/>
          </w:rPr>
          <w:t>LaVEX</w:t>
        </w:r>
        <w:proofErr w:type="spellEnd"/>
        <w:r w:rsidR="002B26D0" w:rsidRPr="002B26D0">
          <w:rPr>
            <w:rStyle w:val="Hyperlink"/>
            <w:sz w:val="16"/>
            <w:szCs w:val="16"/>
          </w:rPr>
          <w:t>) | Newcomb Institute (tulane.edu)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3B86" w14:textId="77777777" w:rsidR="00616383" w:rsidRDefault="00616383" w:rsidP="00616383">
      <w:r>
        <w:separator/>
      </w:r>
    </w:p>
  </w:footnote>
  <w:footnote w:type="continuationSeparator" w:id="0">
    <w:p w14:paraId="6076898C" w14:textId="77777777" w:rsidR="00616383" w:rsidRDefault="00616383" w:rsidP="0061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75"/>
    <w:rsid w:val="00094A6C"/>
    <w:rsid w:val="001E67FB"/>
    <w:rsid w:val="0020781E"/>
    <w:rsid w:val="00220AB3"/>
    <w:rsid w:val="002327C3"/>
    <w:rsid w:val="002B26D0"/>
    <w:rsid w:val="00311800"/>
    <w:rsid w:val="003179F8"/>
    <w:rsid w:val="00381E1B"/>
    <w:rsid w:val="00421ECF"/>
    <w:rsid w:val="00463444"/>
    <w:rsid w:val="004C3DF8"/>
    <w:rsid w:val="005E01B4"/>
    <w:rsid w:val="00616383"/>
    <w:rsid w:val="007B4412"/>
    <w:rsid w:val="0084615A"/>
    <w:rsid w:val="008A3470"/>
    <w:rsid w:val="00921AC3"/>
    <w:rsid w:val="009F724C"/>
    <w:rsid w:val="00AC513A"/>
    <w:rsid w:val="00B51030"/>
    <w:rsid w:val="00C20716"/>
    <w:rsid w:val="00C4431E"/>
    <w:rsid w:val="00C75A2E"/>
    <w:rsid w:val="00C77628"/>
    <w:rsid w:val="00D12487"/>
    <w:rsid w:val="00D25AA3"/>
    <w:rsid w:val="00DD256E"/>
    <w:rsid w:val="00E11230"/>
    <w:rsid w:val="00E849F3"/>
    <w:rsid w:val="00F56175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84E0"/>
  <w15:docId w15:val="{0CC0E1EE-D66C-164E-AB96-4C377D87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lockText">
    <w:name w:val="Block Text"/>
    <w:basedOn w:val="Normal"/>
    <w:rsid w:val="002327C3"/>
    <w:pPr>
      <w:autoSpaceDE/>
      <w:autoSpaceDN/>
      <w:ind w:left="1440" w:right="1440"/>
      <w:jc w:val="both"/>
    </w:pPr>
    <w:rPr>
      <w:rFonts w:ascii="Univers" w:eastAsia="Times New Roman" w:hAnsi="Univers" w:cs="Times New Roman"/>
      <w:b/>
      <w:bCs/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63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6383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638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B2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wcomb.tulane.edu/LaVEX" TargetMode="External"/><Relationship Id="rId2" Type="http://schemas.openxmlformats.org/officeDocument/2006/relationships/hyperlink" Target="https://publications.aap.org/pediatrics/article/152/3/e2023061296/193711/Trends-and-Disparities-in-Firearm-Deaths-Among?searchresult=1%3fautologincheck%3dredirected" TargetMode="External"/><Relationship Id="rId1" Type="http://schemas.openxmlformats.org/officeDocument/2006/relationships/hyperlink" Target="https://www.brproud.com/news/louisiana-news/louisianas-homicide-rate-second-highest-in-us/?ipid=promo-link-block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1A3D-9560-4BA8-BB0A-72F8D1AD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Nations, Michelle</dc:creator>
  <cp:lastModifiedBy>Jeff Everson</cp:lastModifiedBy>
  <cp:revision>4</cp:revision>
  <dcterms:created xsi:type="dcterms:W3CDTF">2024-04-18T15:09:00Z</dcterms:created>
  <dcterms:modified xsi:type="dcterms:W3CDTF">2024-04-18T15:53:00Z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LastSaved">
    <vt:filetime>2019-11-26T00:00:00Z</vt:filetime>
  </property>
</Properties>
</file>